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bad2558bbc5350a786a99578ba2046c318320"/>
    <w:p>
      <w:pPr>
        <w:pStyle w:val="Heading3"/>
      </w:pPr>
      <w:r>
        <w:t xml:space="preserve">Утвержден проект планировки территории объектов природного комплекса СВАО города Москвы № 30 «Парк у поселка им. Ларина» и № 31 «Долина р. Чермянки с усадьбой «Алтуфьево» (район Лианозово)</w:t>
      </w:r>
    </w:p>
    <w:p>
      <w:pPr>
        <w:pStyle w:val="FirstParagraph"/>
      </w:pPr>
      <w:r>
        <w:t xml:space="preserve">22.03.2017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http://lianozovo.mos.ru/public-hearings2/approved-projects/detail/5324210.html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ublic-hearings2/approved-projects/detail/5324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ublic-hearings2/approved-projects/detail/5324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2025-07-21T18:40:22Z</dcterms:created>
  <dcterms:modified xsi:type="dcterms:W3CDTF">2025-07-21T18:40:22Z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