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4c3f54220a6c5d40193341879558ec5264ae3"/>
    <w:p>
      <w:pPr>
        <w:pStyle w:val="Heading3"/>
      </w:pPr>
      <w:r>
        <w:t xml:space="preserve">Шахматисты из Лианозова выступили на окружных соревнованиях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t xml:space="preserve">Окружные соревнования по шахматам прошли на минувшей неделе в шахматном клубе «Этюд». Спортсмены боролись за звание чемпиона.</w:t>
      </w:r>
    </w:p>
    <w:p>
      <w:pPr>
        <w:pStyle w:val="BodyText"/>
      </w:pPr>
      <w:r>
        <w:t xml:space="preserve">Соревнования проходи в два этапа. Всех участников разделили на две возрастные группы. Возраст первой группы составил от 18 до 59 лет. Вторая группа более возрастная – женщины от 55 и старше, мужчины от 60 и старше.</w:t>
      </w:r>
    </w:p>
    <w:p>
      <w:pPr>
        <w:pStyle w:val="BodyText"/>
      </w:pPr>
      <w:r>
        <w:t xml:space="preserve">Честь района защищали пять человек. Спортсмены применили свои знания и выступили достойно.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http://lianozovo.mos.ru/presscenter/news/detail/2642098.html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642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642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2025-03-08T05:21:48Z</dcterms:created>
  <dcterms:modified xsi:type="dcterms:W3CDTF">2025-03-08T05:21:48Z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