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воинской-обязанности-и-воинской-службе"/>
    <w:p>
      <w:pPr>
        <w:pStyle w:val="Heading3"/>
      </w:pPr>
      <w:r>
        <w:t xml:space="preserve">О воинской обязанности и воинской службе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Основным актом, регулирующим порядок прохождения воинской службы является Федеральный закон от 28.03.1998 N 53-ФЗ "О воинской обязанности и военной службе" (далее - Закон).</w:t>
      </w:r>
    </w:p>
    <w:p>
      <w:pPr>
        <w:pStyle w:val="BodyText"/>
      </w:pPr>
      <w:r>
        <w:t xml:space="preserve">Согласно ст. 1 Закона воинская обязанность граждан Российской Федерации (далее - граждане) предусматривает:</w:t>
      </w:r>
    </w:p>
    <w:p>
      <w:pPr>
        <w:pStyle w:val="BodyText"/>
      </w:pPr>
      <w:r>
        <w:t xml:space="preserve">воинский учет;</w:t>
      </w:r>
    </w:p>
    <w:p>
      <w:pPr>
        <w:pStyle w:val="BodyText"/>
      </w:pPr>
      <w:r>
        <w:t xml:space="preserve">обязательную подготовку к военной службе;</w:t>
      </w:r>
    </w:p>
    <w:p>
      <w:pPr>
        <w:pStyle w:val="BodyText"/>
      </w:pPr>
      <w:r>
        <w:t xml:space="preserve">призыв на военную службу;</w:t>
      </w:r>
    </w:p>
    <w:p>
      <w:pPr>
        <w:pStyle w:val="BodyText"/>
      </w:pPr>
      <w:r>
        <w:t xml:space="preserve">прохождение военной службы по призыву;</w:t>
      </w:r>
    </w:p>
    <w:p>
      <w:pPr>
        <w:pStyle w:val="BodyText"/>
      </w:pPr>
      <w:r>
        <w:t xml:space="preserve">пребывание в запасе;</w:t>
      </w:r>
    </w:p>
    <w:p>
      <w:pPr>
        <w:pStyle w:val="BodyText"/>
      </w:pPr>
      <w:r>
        <w:t xml:space="preserve">призыв на военные сборы и прохождение военных сборов в период пребывания в запасе.</w:t>
      </w:r>
    </w:p>
    <w:p>
      <w:pPr>
        <w:pStyle w:val="BodyText"/>
      </w:pPr>
      <w:r>
        <w:t xml:space="preserve">В соответствии со ст. 4 Закона руководители, другие ответственные за военно-учетную работу должностные лица (работники) организаций обязаны:</w:t>
      </w:r>
    </w:p>
    <w:p>
      <w:pPr>
        <w:pStyle w:val="BodyText"/>
      </w:pPr>
      <w:r>
        <w:t xml:space="preserve">оповещать граждан о вызовах (повестках) военных комиссариатов;</w:t>
      </w:r>
    </w:p>
    <w:p>
      <w:pPr>
        <w:pStyle w:val="BodyText"/>
      </w:pPr>
      <w:r>
        <w:t xml:space="preserve">обеспечивать гражданам возможность своевременной явки по вызовам (повесткам) военных комиссариатов;</w:t>
      </w:r>
    </w:p>
    <w:p>
      <w:pPr>
        <w:pStyle w:val="BodyText"/>
      </w:pPr>
      <w:r>
        <w:t xml:space="preserve"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учете.</w:t>
      </w:r>
    </w:p>
    <w:p>
      <w:pPr>
        <w:pStyle w:val="BodyText"/>
      </w:pPr>
      <w:r>
        <w:t xml:space="preserve">Согласно ст. 8 Закона граждане обязаны состоять на воинском учете, за исключением граждан:</w:t>
      </w:r>
    </w:p>
    <w:p>
      <w:pPr>
        <w:pStyle w:val="BodyText"/>
      </w:pPr>
      <w:r>
        <w:t xml:space="preserve">освобожденных от исполнения воинской обязанности в соответствии с настоящим 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законом</w:t>
        </w:r>
      </w:hyperlink>
      <w:r>
        <w:t xml:space="preserve">;</w:t>
      </w:r>
    </w:p>
    <w:p>
      <w:pPr>
        <w:pStyle w:val="BodyText"/>
      </w:pPr>
      <w:r>
        <w:t xml:space="preserve">проходящих военную службу;</w:t>
      </w:r>
    </w:p>
    <w:p>
      <w:pPr>
        <w:pStyle w:val="BodyText"/>
      </w:pPr>
      <w:r>
        <w:t xml:space="preserve">отбывающих наказание в виде</w:t>
      </w:r>
      <w:r>
        <w:t xml:space="preserve"> </w:t>
      </w:r>
      <w:hyperlink r:id="rId21">
        <w:r>
          <w:rPr>
            <w:rStyle w:val="Hyperlink"/>
          </w:rPr>
          <w:t xml:space="preserve">лишения свободы</w:t>
        </w:r>
      </w:hyperlink>
      <w:r>
        <w:t xml:space="preserve">;</w:t>
      </w:r>
    </w:p>
    <w:p>
      <w:pPr>
        <w:pStyle w:val="BodyText"/>
      </w:pPr>
      <w:r>
        <w:t xml:space="preserve">женского пола, не имеющих</w:t>
      </w:r>
      <w:r>
        <w:t xml:space="preserve"> </w:t>
      </w:r>
      <w:hyperlink r:id="rId22">
        <w:r>
          <w:rPr>
            <w:rStyle w:val="Hyperlink"/>
          </w:rPr>
          <w:t xml:space="preserve">военно-учетной специальности</w:t>
        </w:r>
      </w:hyperlink>
      <w:r>
        <w:t xml:space="preserve">;</w:t>
      </w:r>
    </w:p>
    <w:p>
      <w:pPr>
        <w:pStyle w:val="BodyText"/>
      </w:pPr>
      <w:r>
        <w:t xml:space="preserve">постоянно проживающих за пределами Российской Федерации.</w:t>
      </w:r>
    </w:p>
    <w:p>
      <w:pPr>
        <w:pStyle w:val="BodyText"/>
      </w:pPr>
      <w:r>
        <w:t xml:space="preserve">За совершение администартивных правонарушений в области воинского учета установлена административная ответственность, предусмотренная ст.ст. 21.1-21.7 КоАП РФ.</w:t>
      </w:r>
    </w:p>
    <w:p>
      <w:pPr>
        <w:pStyle w:val="BodyText"/>
      </w:pPr>
      <w:r>
        <w:t xml:space="preserve">Ведение воинского учета определяется Положением о воинском учете, утв. постановлением Правительства РФ от 27.11.2006 № 719</w:t>
      </w:r>
    </w:p>
    <w:p>
      <w:pPr>
        <w:pStyle w:val="BodyText"/>
      </w:pPr>
      <w:r>
        <w:t xml:space="preserve">В соответствии с подп. «а», п. 32 раздела 3 Положения о воинском учете, утв. постановлением Правительства РФ от 27.11.2006 № 719 (далее - Положение) работники, осуществляющие воинский учет в организациях направляют в 2-недельный срок в соответствующие военные комиссариаты и (или) органы местного самоуправления сведения о гражданах, подлежащих воинскому учету и принятию (поступлению) или увольнению (отчислению) их с работы (из образовательных организаций).</w:t>
      </w:r>
    </w:p>
    <w:p>
      <w:pPr>
        <w:pStyle w:val="BodyText"/>
      </w:pPr>
      <w:r>
        <w:t xml:space="preserve">Характерными нарушениями законодательства в организациях в части воинского учета является несообщение в соответствующие военные комиссариаты и (или) органы местного самоуправления сведения о гражданах, подлежащих воинскому учету и принятию (поступлению) или увольнению (отчислению) их с работы (из образовательных организаций).</w:t>
      </w:r>
    </w:p>
    <w:p>
      <w:pPr>
        <w:pStyle w:val="BodyText"/>
      </w:pPr>
      <w:r>
        <w:t xml:space="preserve">Межрайонной прокуратурой на постоянной основе проводятся проверки соблюдения законодательства о воинской обязанности и воинской службе.</w:t>
      </w:r>
    </w:p>
    <w:p>
      <w:pPr>
        <w:pStyle w:val="BodyText"/>
      </w:pPr>
      <w:r>
        <w:t xml:space="preserve">Проверки, как правило, проводятся в военном комиссариате, районных отделах ОМВД России, образовательных учреждениях и организациях различных форм собственности.</w:t>
      </w:r>
    </w:p>
    <w:p>
      <w:pPr>
        <w:pStyle w:val="BodyText"/>
      </w:pPr>
      <w:r>
        <w:t xml:space="preserve">Так, за истекший период 2015 года межрайонной прокуратурой выявлено 23 нарушения закона, по результатам проверок внесено 14 представлений об устрани нарушений закона.</w:t>
      </w:r>
    </w:p>
    <w:p>
      <w:pPr>
        <w:pStyle w:val="BodyText"/>
      </w:pPr>
      <w:r>
        <w:t xml:space="preserve">С коллективами организаций, в образовательных учреждениях проводятся лекции по исполнению обязанности по воинской обязанности, так за истекший период межрайонной прокуратурой прочитано 4 лекции.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http://lianozovo.mos.ru/presscenter/news/detail/2399460.html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AD8DE552ACD3C25F4F8A599F6B6200B942F283AD88E4FED24022CF57E7B9B66F0C158D1EF7v1A0Q" TargetMode="External" /><Relationship Type="http://schemas.openxmlformats.org/officeDocument/2006/relationships/hyperlink" Id="rId21" Target="consultantplus://offline/ref=AD8DE552ACD3C25F4F8A599F6B6200B942F28CA28DEEFED24022CF57E7B9B66F0C158D1BFE1098DEvDADQ" TargetMode="External" /><Relationship Type="http://schemas.openxmlformats.org/officeDocument/2006/relationships/hyperlink" Id="rId22" Target="consultantplus://offline/ref=AD8DE552ACD3C25F4F8A599F6B6200B942FC8CAD8BE2FED24022CF57E7B9B66F0C158D1BFE1099D9vDA8Q" TargetMode="External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239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AD8DE552ACD3C25F4F8A599F6B6200B942F283AD88E4FED24022CF57E7B9B66F0C158D1EF7v1A0Q" TargetMode="External" /><Relationship Type="http://schemas.openxmlformats.org/officeDocument/2006/relationships/hyperlink" Id="rId21" Target="consultantplus://offline/ref=AD8DE552ACD3C25F4F8A599F6B6200B942F28CA28DEEFED24022CF57E7B9B66F0C158D1BFE1098DEvDADQ" TargetMode="External" /><Relationship Type="http://schemas.openxmlformats.org/officeDocument/2006/relationships/hyperlink" Id="rId22" Target="consultantplus://offline/ref=AD8DE552ACD3C25F4F8A599F6B6200B942FC8CAD8BE2FED24022CF57E7B9B66F0C158D1BFE1099D9vDA8Q" TargetMode="External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239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2025-08-05T16:09:31Z</dcterms:created>
  <dcterms:modified xsi:type="dcterms:W3CDTF">2025-08-05T16:09:31Z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