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4f5ed2372b435b6d0e940631c9ec57dd04844"/>
    <w:p>
      <w:pPr>
        <w:pStyle w:val="Heading3"/>
      </w:pPr>
      <w:r>
        <w:t xml:space="preserve">Распоряжение 01-05-19/19 от 22.02.2019 Об утверждении положения о системе внутреннего обеспечения соответствия требованиям антимонопольного законодательства в управе района Лианозово г. Москвы</w:t>
      </w:r>
    </w:p>
    <w:p>
      <w:pPr>
        <w:pStyle w:val="FirstParagraph"/>
      </w:pPr>
      <w:r>
        <w:t xml:space="preserve">29.04.2019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http://lianozovo.mos.ru/antitrust-compliance/detail/8053696.html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trust-compliance/detail/8053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trust-compliance/detail/8053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2025-07-13T04:46:17Z</dcterms:created>
  <dcterms:modified xsi:type="dcterms:W3CDTF">2025-07-13T04:46:17Z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