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414d1432db89c1833d59d68c0b7f734993106e"/>
    <w:p>
      <w:pPr>
        <w:pStyle w:val="Heading3"/>
      </w:pPr>
      <w:r>
        <w:t xml:space="preserve">Распоряжение о создании Комиссии по противодействию коррупции управы района Лианозово</w:t>
      </w:r>
    </w:p>
    <w:p>
      <w:pPr>
        <w:pStyle w:val="FirstParagraph"/>
      </w:pPr>
      <w:r>
        <w:t xml:space="preserve">12.04.2016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http://lianozovo.mos.ru/anti-corruption-new/the-commission-for-observance-of-requirements-for-the-official-behaviour-of-state-civil-employees-of/detail/2751914.html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Лианозово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anti-corruption-new/the-commission-for-observance-of-requirements-for-the-official-behaviour-of-state-civil-employees-of/detail/27519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anti-corruption-new/the-commission-for-observance-of-requirements-for-the-official-behaviour-of-state-civil-employees-of/detail/27519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2024-12-27T14:02:39Z</dcterms:created>
  <dcterms:modified xsi:type="dcterms:W3CDTF">2024-12-27T14:02:39Z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