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6b73f945b51e88d1a881806aeaaf022152671"/>
    <w:p>
      <w:pPr>
        <w:pStyle w:val="Heading3"/>
      </w:pPr>
      <w:r>
        <w:t xml:space="preserve">Протокол № 3 заседания Комиссии по соблюдению требований к служебному поведению государственных гражданских служащих и урегулированию конфликта интересов управы района Лианозово города Москвы от 28.10.2024 г.</w:t>
      </w:r>
    </w:p>
    <w:p>
      <w:pPr>
        <w:pStyle w:val="FirstParagraph"/>
      </w:pPr>
      <w:r>
        <w:t xml:space="preserve">22.11.2024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http://lianozovo.mos.ru/anti-corruption-new/the-commission-for-observance-of-requirements-for-the-official-behaviour-of-state-civil-employees-of/detail/12679457.html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anti-corruption-new/the-commission-for-observance-of-requirements-for-the-official-behaviour-of-state-civil-employees-of/detail/126794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anti-corruption-new/the-commission-for-observance-of-requirements-for-the-official-behaviour-of-state-civil-employees-of/detail/126794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2024-12-15T10:09:20Z</dcterms:created>
  <dcterms:modified xsi:type="dcterms:W3CDTF">2024-12-15T10:09:20Z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