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751593aeb5a5127e82eed9542e645a03dfb11"/>
    <w:p>
      <w:pPr>
        <w:pStyle w:val="Heading3"/>
      </w:pPr>
      <w:r>
        <w:t xml:space="preserve">О создании Комиссии по соблюдению требований к служебному поведению государственных гражданских служащих и урегулированию конфликта интересов в управе района Лианозово</w:t>
      </w:r>
    </w:p>
    <w:p>
      <w:pPr>
        <w:pStyle w:val="FirstParagraph"/>
      </w:pPr>
      <w:r>
        <w:t xml:space="preserve">07.07.2014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http://lianozovo.mos.ru/anti-corruption-new/the-commission-for-observance-of-requirements-for-the-official-behaviour-of-state-civil-employees-of/detail/1109860.html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anti-corruption-new/the-commission-for-observance-of-requirements-for-the-official-behaviour-of-state-civil-employees-of/detail/11098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anti-corruption-new/the-commission-for-observance-of-requirements-for-the-official-behaviour-of-state-civil-employees-of/detail/11098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2024-08-16T20:36:40Z</dcterms:created>
  <dcterms:modified xsi:type="dcterms:W3CDTF">2024-08-16T20:36:40Z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