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697e19324c213244dd902bd7539f8f31b1006"/>
    <w:p>
      <w:pPr>
        <w:pStyle w:val="Heading3"/>
      </w:pPr>
      <w:r>
        <w:t xml:space="preserve">Распоряжение 01-05-123_21 от 15.09.2021 О внесении изменений в распоряжение управы от 01.07.2016 №63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http://lianozovo.mos.ru/anti-corruption-new/the-commission-for-observance-of-requirements-for-the-official-behaviour-of-state-civil-employees-of/detail/11012428.html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1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the-commission-for-observance-of-requirements-for-the-official-behaviour-of-state-civil-employees-of/detail/1101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2024-09-22T18:11:16Z</dcterms:created>
  <dcterms:modified xsi:type="dcterms:W3CDTF">2024-09-22T18:11:16Z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