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2ec7ec7f5363c5278140cf6b54e0bb695fa26"/>
    <w:p>
      <w:pPr>
        <w:pStyle w:val="Heading3"/>
      </w:pPr>
      <w:r>
        <w:t xml:space="preserve">Распоряжение № 65 от 09.07.2016 "Положение о составе и порядке работы комиссии по соблюдению требований к служебному поведению гражданских служащих города Москвы и урегулированию конфликта интересов в управе района Лианозово города Москвы"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http://lianozovo.mos.ru/anti-corruption-new/the-commission-for-observance-of-requirements-for-the-official-behaviour-of-state-civil-employees-of/detail/11010713.html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1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1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2025-07-23T09:36:52Z</dcterms:created>
  <dcterms:modified xsi:type="dcterms:W3CDTF">2025-07-23T09:36:52Z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