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dd52f886020c510b47f0f5807f4ca43eb6c03"/>
    <w:p>
      <w:pPr>
        <w:pStyle w:val="Heading3"/>
      </w:pPr>
      <w:r>
        <w:t xml:space="preserve">Утвержден план противодействия коррупции в управе района Лианозово на 2016-2017 годы</w:t>
      </w:r>
    </w:p>
    <w:p>
      <w:pPr>
        <w:pStyle w:val="FirstParagraph"/>
      </w:pPr>
      <w:r>
        <w:t xml:space="preserve">22.01.2016</w:t>
      </w:r>
    </w:p>
    <w:p>
      <w:pPr>
        <w:pStyle w:val="BodyText"/>
      </w:pPr>
      <w:r>
        <w:t xml:space="preserve">С планом можно ознакомиться здесь: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http://lianozovo.mos.ru/anti-corruption-new/plans-papers-reports-reviews-static-information-on-combating-corruption/detail/2458886.html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plans-papers-reports-reviews-static-information-on-combating-corruption/detail/2458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anti-corruption-new/plans-papers-reports-reviews-static-information-on-combating-corruption/detail/2458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2023-12-28T19:32:33Z</dcterms:created>
  <dcterms:modified xsi:type="dcterms:W3CDTF">2023-12-28T19:32:33Z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