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де-говорят-деньги-там-молчит-совесть"/>
    <w:p>
      <w:pPr>
        <w:pStyle w:val="Heading3"/>
      </w:pPr>
      <w:r>
        <w:t xml:space="preserve">Где говорят деньги, там молчит совесть!</w:t>
      </w:r>
    </w:p>
    <w:p>
      <w:pPr>
        <w:pStyle w:val="FirstParagraph"/>
      </w:pPr>
      <w:r>
        <w:t xml:space="preserve">30.08.2019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http://lianozovo.mos.ru/anti-corruption-new/methodical-materials/detail/8319400.html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anti-corruption-new/methodical-materials/detail/83194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anti-corruption-new/methodical-materials/detail/83194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2025-07-28T09:07:17Z</dcterms:created>
  <dcterms:modified xsi:type="dcterms:W3CDTF">2025-07-28T09:07:17Z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